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602C90">
        <w:rPr>
          <w:sz w:val="36"/>
          <w:szCs w:val="36"/>
        </w:rPr>
        <w:t xml:space="preserve">                      ALLEGATO </w:t>
      </w:r>
      <w:r>
        <w:rPr>
          <w:sz w:val="36"/>
          <w:szCs w:val="36"/>
        </w:rPr>
        <w:t xml:space="preserve"> </w:t>
      </w:r>
      <w:r w:rsidR="00602C90">
        <w:rPr>
          <w:sz w:val="36"/>
          <w:szCs w:val="36"/>
        </w:rPr>
        <w:t>2</w:t>
      </w:r>
      <w:r>
        <w:br w:type="textWrapping" w:clear="all"/>
      </w:r>
    </w:p>
    <w:p w:rsidR="00602C90" w:rsidRPr="00602C90" w:rsidRDefault="00155059" w:rsidP="00602C90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I</w:t>
      </w:r>
      <w:r w:rsidR="00602C90">
        <w:rPr>
          <w:rFonts w:cstheme="minorHAnsi"/>
          <w:sz w:val="36"/>
          <w:szCs w:val="36"/>
        </w:rPr>
        <w:t>N GIOCO</w:t>
      </w:r>
      <w:r w:rsidR="00602C90" w:rsidRPr="00602C90">
        <w:rPr>
          <w:rFonts w:eastAsia="Times New Roman" w:cstheme="minorHAnsi"/>
          <w:i/>
          <w:sz w:val="36"/>
          <w:szCs w:val="36"/>
        </w:rPr>
        <w:t>: riconosci la voce</w:t>
      </w:r>
      <w:r w:rsidR="00602C90" w:rsidRPr="00602C90">
        <w:rPr>
          <w:rFonts w:eastAsia="Times New Roman" w:cstheme="minorHAnsi"/>
          <w:sz w:val="36"/>
          <w:szCs w:val="36"/>
        </w:rPr>
        <w:t>.</w:t>
      </w:r>
    </w:p>
    <w:p w:rsidR="00602C90" w:rsidRPr="00602C90" w:rsidRDefault="00602C90" w:rsidP="00602C90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602C90">
        <w:rPr>
          <w:rFonts w:eastAsia="Times New Roman" w:cstheme="minorHAnsi"/>
          <w:sz w:val="36"/>
          <w:szCs w:val="36"/>
        </w:rPr>
        <w:t>Le nostre giornate sono spesso inflazionate da molte voci sovrapposte e più o meno sommesse, non facilmente distinguibili né per cosa dicono, né per le persone alle quali appartengono. Tuttavia, distinguere le voci resta importante: ciò che si dice, assume un significato diverso se a dirlo è una persona che vive una certa condizione, oppure se credibile o meno, esperta o inesperta, e così via. C'è sempre una motivazione alla base di ciò che si dice e di come si dice</w:t>
      </w:r>
      <w:r w:rsidR="00A206B8">
        <w:rPr>
          <w:rFonts w:eastAsia="Times New Roman" w:cstheme="minorHAnsi"/>
          <w:sz w:val="36"/>
          <w:szCs w:val="36"/>
        </w:rPr>
        <w:t xml:space="preserve"> una determinata cosa</w:t>
      </w:r>
      <w:r w:rsidRPr="00602C90">
        <w:rPr>
          <w:rFonts w:eastAsia="Times New Roman" w:cstheme="minorHAnsi"/>
          <w:sz w:val="36"/>
          <w:szCs w:val="36"/>
        </w:rPr>
        <w:t xml:space="preserve"> al destinatario di turno. Nel gioco, a turno, due o tre giocatori si pongono di spalle agli altri, ripetendo contemporaneamente e sommessamente un testo di alcune righe che gli è stato fornito. Il giocatore di turno deve riconoscere quante più voci e argomenti. E’ l'occasione per raccontare brevemente sia cosa abbiamo vissuto nel gioco, sia cosa proviamo quando ciò accade nella nostra vita interiore.</w:t>
      </w:r>
    </w:p>
    <w:p w:rsidR="00155059" w:rsidRPr="00602C90" w:rsidRDefault="00155059" w:rsidP="00602C90">
      <w:pPr>
        <w:spacing w:after="0" w:line="240" w:lineRule="auto"/>
        <w:rPr>
          <w:rFonts w:cstheme="minorHAnsi"/>
          <w:sz w:val="36"/>
          <w:szCs w:val="36"/>
        </w:rPr>
      </w:pPr>
    </w:p>
    <w:sectPr w:rsidR="00155059" w:rsidRPr="00602C90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573F16"/>
    <w:rsid w:val="005D7932"/>
    <w:rsid w:val="00602C90"/>
    <w:rsid w:val="00834F00"/>
    <w:rsid w:val="009B5118"/>
    <w:rsid w:val="00A206B8"/>
    <w:rsid w:val="00AC2FDE"/>
    <w:rsid w:val="00BF5B09"/>
    <w:rsid w:val="00C2082B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2022-09-04T15:55:00Z</dcterms:modified>
</cp:coreProperties>
</file>